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974"/>
      </w:tblGrid>
      <w:tr w:rsidR="00501CE9" w:rsidRPr="00CB5AAF" w:rsidTr="00CB5AAF">
        <w:trPr>
          <w:tblCellSpacing w:w="0" w:type="dxa"/>
        </w:trPr>
        <w:tc>
          <w:tcPr>
            <w:tcW w:w="3348" w:type="dxa"/>
            <w:shd w:val="clear" w:color="auto" w:fill="FFFFFF"/>
            <w:tcMar>
              <w:top w:w="0" w:type="dxa"/>
              <w:left w:w="108" w:type="dxa"/>
              <w:bottom w:w="0" w:type="dxa"/>
              <w:right w:w="108" w:type="dxa"/>
            </w:tcMar>
            <w:hideMark/>
          </w:tcPr>
          <w:p w:rsidR="00501CE9" w:rsidRPr="00CB5AAF" w:rsidRDefault="00501CE9" w:rsidP="00501CE9">
            <w:pPr>
              <w:spacing w:before="120" w:after="0" w:line="304" w:lineRule="atLeast"/>
              <w:jc w:val="center"/>
              <w:rPr>
                <w:rFonts w:eastAsia="Times New Roman" w:cs="Times New Roman"/>
                <w:sz w:val="26"/>
                <w:szCs w:val="26"/>
              </w:rPr>
            </w:pPr>
            <w:r w:rsidRPr="00CB5AAF">
              <w:rPr>
                <w:rFonts w:eastAsia="Times New Roman" w:cs="Times New Roman"/>
                <w:b/>
                <w:bCs/>
                <w:sz w:val="26"/>
                <w:szCs w:val="26"/>
                <w:lang w:val="vi-VN"/>
              </w:rPr>
              <w:t>BỘ TÀI CHÍNH</w:t>
            </w:r>
            <w:r w:rsidRPr="00CB5AAF">
              <w:rPr>
                <w:rFonts w:eastAsia="Times New Roman" w:cs="Times New Roman"/>
                <w:b/>
                <w:bCs/>
                <w:sz w:val="26"/>
                <w:szCs w:val="26"/>
                <w:lang w:val="vi-VN"/>
              </w:rPr>
              <w:br/>
              <w:t>-------</w:t>
            </w:r>
          </w:p>
        </w:tc>
        <w:tc>
          <w:tcPr>
            <w:tcW w:w="5974" w:type="dxa"/>
            <w:shd w:val="clear" w:color="auto" w:fill="FFFFFF"/>
            <w:tcMar>
              <w:top w:w="0" w:type="dxa"/>
              <w:left w:w="108" w:type="dxa"/>
              <w:bottom w:w="0" w:type="dxa"/>
              <w:right w:w="108" w:type="dxa"/>
            </w:tcMar>
            <w:hideMark/>
          </w:tcPr>
          <w:p w:rsidR="00501CE9" w:rsidRPr="00CB5AAF" w:rsidRDefault="00501CE9" w:rsidP="00501CE9">
            <w:pPr>
              <w:spacing w:before="120" w:after="0" w:line="304" w:lineRule="atLeast"/>
              <w:jc w:val="center"/>
              <w:rPr>
                <w:rFonts w:eastAsia="Times New Roman" w:cs="Times New Roman"/>
                <w:sz w:val="26"/>
                <w:szCs w:val="26"/>
              </w:rPr>
            </w:pPr>
            <w:r w:rsidRPr="00CB5AAF">
              <w:rPr>
                <w:rFonts w:eastAsia="Times New Roman" w:cs="Times New Roman"/>
                <w:b/>
                <w:bCs/>
                <w:sz w:val="26"/>
                <w:szCs w:val="26"/>
                <w:lang w:val="vi-VN"/>
              </w:rPr>
              <w:t>CỘNG HÒA XÃ HỘI CHỦ NGHĨA VIỆT NAM</w:t>
            </w:r>
            <w:r w:rsidRPr="00CB5AAF">
              <w:rPr>
                <w:rFonts w:eastAsia="Times New Roman" w:cs="Times New Roman"/>
                <w:b/>
                <w:bCs/>
                <w:sz w:val="26"/>
                <w:szCs w:val="26"/>
                <w:lang w:val="vi-VN"/>
              </w:rPr>
              <w:br/>
              <w:t>Độc lập - Tự do - Hạnh phúc </w:t>
            </w:r>
            <w:r w:rsidRPr="00CB5AAF">
              <w:rPr>
                <w:rFonts w:eastAsia="Times New Roman" w:cs="Times New Roman"/>
                <w:b/>
                <w:bCs/>
                <w:sz w:val="26"/>
                <w:szCs w:val="26"/>
                <w:lang w:val="vi-VN"/>
              </w:rPr>
              <w:br/>
              <w:t>---------------</w:t>
            </w:r>
          </w:p>
        </w:tc>
      </w:tr>
      <w:tr w:rsidR="00501CE9" w:rsidRPr="00CB5AAF" w:rsidTr="00CB5AAF">
        <w:trPr>
          <w:tblCellSpacing w:w="0" w:type="dxa"/>
        </w:trPr>
        <w:tc>
          <w:tcPr>
            <w:tcW w:w="3348" w:type="dxa"/>
            <w:shd w:val="clear" w:color="auto" w:fill="FFFFFF"/>
            <w:tcMar>
              <w:top w:w="0" w:type="dxa"/>
              <w:left w:w="108" w:type="dxa"/>
              <w:bottom w:w="0" w:type="dxa"/>
              <w:right w:w="108" w:type="dxa"/>
            </w:tcMar>
            <w:hideMark/>
          </w:tcPr>
          <w:p w:rsidR="00501CE9" w:rsidRPr="00CB5AAF" w:rsidRDefault="00501CE9" w:rsidP="00501CE9">
            <w:pPr>
              <w:spacing w:before="120" w:after="0" w:line="304" w:lineRule="atLeast"/>
              <w:jc w:val="center"/>
              <w:rPr>
                <w:rFonts w:eastAsia="Times New Roman" w:cs="Times New Roman"/>
                <w:sz w:val="26"/>
                <w:szCs w:val="26"/>
              </w:rPr>
            </w:pPr>
            <w:r w:rsidRPr="00CB5AAF">
              <w:rPr>
                <w:rFonts w:eastAsia="Times New Roman" w:cs="Times New Roman"/>
                <w:sz w:val="26"/>
                <w:szCs w:val="26"/>
                <w:lang w:val="vi-VN"/>
              </w:rPr>
              <w:t>Số: 37/2017/TT-BTC</w:t>
            </w:r>
          </w:p>
        </w:tc>
        <w:tc>
          <w:tcPr>
            <w:tcW w:w="5974" w:type="dxa"/>
            <w:shd w:val="clear" w:color="auto" w:fill="FFFFFF"/>
            <w:tcMar>
              <w:top w:w="0" w:type="dxa"/>
              <w:left w:w="108" w:type="dxa"/>
              <w:bottom w:w="0" w:type="dxa"/>
              <w:right w:w="108" w:type="dxa"/>
            </w:tcMar>
            <w:hideMark/>
          </w:tcPr>
          <w:p w:rsidR="00501CE9" w:rsidRPr="00CB5AAF" w:rsidRDefault="00501CE9" w:rsidP="00501CE9">
            <w:pPr>
              <w:spacing w:before="120" w:after="0" w:line="304" w:lineRule="atLeast"/>
              <w:jc w:val="right"/>
              <w:rPr>
                <w:rFonts w:eastAsia="Times New Roman" w:cs="Times New Roman"/>
                <w:sz w:val="26"/>
                <w:szCs w:val="26"/>
              </w:rPr>
            </w:pPr>
            <w:r w:rsidRPr="00CB5AAF">
              <w:rPr>
                <w:rFonts w:eastAsia="Times New Roman" w:cs="Times New Roman"/>
                <w:i/>
                <w:iCs/>
                <w:sz w:val="26"/>
                <w:szCs w:val="26"/>
                <w:lang w:val="vi-VN"/>
              </w:rPr>
              <w:t>Hà Nội, ngày 27 tháng </w:t>
            </w:r>
            <w:r w:rsidRPr="00CB5AAF">
              <w:rPr>
                <w:rFonts w:eastAsia="Times New Roman" w:cs="Times New Roman"/>
                <w:i/>
                <w:iCs/>
                <w:sz w:val="26"/>
                <w:szCs w:val="26"/>
              </w:rPr>
              <w:t>0</w:t>
            </w:r>
            <w:r w:rsidRPr="00CB5AAF">
              <w:rPr>
                <w:rFonts w:eastAsia="Times New Roman" w:cs="Times New Roman"/>
                <w:i/>
                <w:iCs/>
                <w:sz w:val="26"/>
                <w:szCs w:val="26"/>
                <w:lang w:val="vi-VN"/>
              </w:rPr>
              <w:t>4 năm 2017</w:t>
            </w:r>
          </w:p>
        </w:tc>
      </w:tr>
    </w:tbl>
    <w:p w:rsidR="00501CE9" w:rsidRPr="00CB5AAF" w:rsidRDefault="00501CE9" w:rsidP="00501CE9">
      <w:pPr>
        <w:shd w:val="clear" w:color="auto" w:fill="FFFFFF"/>
        <w:spacing w:before="120" w:after="0" w:line="304" w:lineRule="atLeast"/>
        <w:rPr>
          <w:rFonts w:eastAsia="Times New Roman" w:cs="Times New Roman"/>
          <w:sz w:val="26"/>
          <w:szCs w:val="26"/>
        </w:rPr>
      </w:pPr>
      <w:r w:rsidRPr="00CB5AAF">
        <w:rPr>
          <w:rFonts w:eastAsia="Times New Roman" w:cs="Times New Roman"/>
          <w:sz w:val="26"/>
          <w:szCs w:val="26"/>
          <w:lang w:val="vi-VN"/>
        </w:rPr>
        <w:t> </w:t>
      </w:r>
    </w:p>
    <w:p w:rsidR="00501CE9" w:rsidRPr="00CB5AAF" w:rsidRDefault="00501CE9" w:rsidP="00501CE9">
      <w:pPr>
        <w:shd w:val="clear" w:color="auto" w:fill="FFFFFF"/>
        <w:spacing w:before="120" w:after="0" w:line="304" w:lineRule="atLeast"/>
        <w:jc w:val="center"/>
        <w:rPr>
          <w:rFonts w:eastAsia="Times New Roman" w:cs="Times New Roman"/>
          <w:sz w:val="26"/>
          <w:szCs w:val="26"/>
        </w:rPr>
      </w:pPr>
      <w:r w:rsidRPr="00CB5AAF">
        <w:rPr>
          <w:rFonts w:eastAsia="Times New Roman" w:cs="Times New Roman"/>
          <w:b/>
          <w:bCs/>
          <w:sz w:val="26"/>
          <w:szCs w:val="26"/>
          <w:lang w:val="vi-VN"/>
        </w:rPr>
        <w:t>THÔNG TƯ</w:t>
      </w:r>
    </w:p>
    <w:p w:rsidR="00501CE9" w:rsidRPr="00CB5AAF" w:rsidRDefault="00501CE9" w:rsidP="00501CE9">
      <w:pPr>
        <w:shd w:val="clear" w:color="auto" w:fill="FFFFFF"/>
        <w:spacing w:after="0" w:line="304" w:lineRule="atLeast"/>
        <w:jc w:val="center"/>
        <w:rPr>
          <w:rFonts w:eastAsia="Times New Roman" w:cs="Times New Roman"/>
          <w:sz w:val="26"/>
          <w:szCs w:val="26"/>
        </w:rPr>
      </w:pPr>
      <w:r w:rsidRPr="00CB5AAF">
        <w:rPr>
          <w:rFonts w:eastAsia="Times New Roman" w:cs="Times New Roman"/>
          <w:sz w:val="26"/>
          <w:szCs w:val="26"/>
          <w:lang w:val="vi-VN"/>
        </w:rPr>
        <w:t>SỬA ĐỔI, BỔ SUNG THÔNG TƯ SỐ </w:t>
      </w:r>
      <w:hyperlink r:id="rId4" w:tgtFrame="_blank" w:history="1">
        <w:r w:rsidRPr="00CB5AAF">
          <w:rPr>
            <w:rFonts w:eastAsia="Times New Roman" w:cs="Times New Roman"/>
            <w:sz w:val="26"/>
            <w:szCs w:val="26"/>
            <w:lang w:val="vi-VN"/>
          </w:rPr>
          <w:t>39/2014/TT-BTC</w:t>
        </w:r>
      </w:hyperlink>
      <w:r w:rsidRPr="00CB5AAF">
        <w:rPr>
          <w:rFonts w:eastAsia="Times New Roman" w:cs="Times New Roman"/>
          <w:sz w:val="26"/>
          <w:szCs w:val="26"/>
          <w:lang w:val="vi-VN"/>
        </w:rPr>
        <w:t> NGÀY 31/3/2014 CỦA BỘ TÀI CHÍNH, THÔNG TƯ SỐ 26/2015/TT</w:t>
      </w:r>
      <w:r w:rsidRPr="00CB5AAF">
        <w:rPr>
          <w:rFonts w:eastAsia="Times New Roman" w:cs="Times New Roman"/>
          <w:sz w:val="26"/>
          <w:szCs w:val="26"/>
        </w:rPr>
        <w:t>-</w:t>
      </w:r>
      <w:r w:rsidRPr="00CB5AAF">
        <w:rPr>
          <w:rFonts w:eastAsia="Times New Roman" w:cs="Times New Roman"/>
          <w:sz w:val="26"/>
          <w:szCs w:val="26"/>
          <w:lang w:val="vi-VN"/>
        </w:rPr>
        <w:t>BTC NGÀY 27/02/2015 CỦA BỘ TÀI CHÍNH</w:t>
      </w:r>
    </w:p>
    <w:p w:rsidR="00501CE9" w:rsidRPr="00CB5AAF" w:rsidRDefault="00501CE9" w:rsidP="00182FD4">
      <w:pPr>
        <w:shd w:val="clear" w:color="auto" w:fill="FFFFFF"/>
        <w:spacing w:before="120" w:after="0" w:line="304" w:lineRule="atLeast"/>
        <w:jc w:val="both"/>
        <w:rPr>
          <w:rFonts w:eastAsia="Times New Roman" w:cs="Times New Roman"/>
          <w:sz w:val="26"/>
          <w:szCs w:val="26"/>
        </w:rPr>
      </w:pPr>
      <w:r w:rsidRPr="00CB5AAF">
        <w:rPr>
          <w:rFonts w:eastAsia="Times New Roman" w:cs="Times New Roman"/>
          <w:i/>
          <w:iCs/>
          <w:sz w:val="26"/>
          <w:szCs w:val="26"/>
          <w:lang w:val="vi-VN"/>
        </w:rPr>
        <w:t>Căn cứ Luật Quản lý thuế số 78/2006/QH11 ngày 29 tháng 11 năm 2006 và Luật sửa đổi bổ sung một số điều của Luật Quản lý thuế số 21/2012/QH13 ngày 20 tháng 11 năm 2012;</w:t>
      </w:r>
    </w:p>
    <w:p w:rsidR="00501CE9" w:rsidRPr="00CB5AAF" w:rsidRDefault="00501CE9" w:rsidP="00182FD4">
      <w:pPr>
        <w:shd w:val="clear" w:color="auto" w:fill="FFFFFF"/>
        <w:spacing w:before="120" w:after="0" w:line="304" w:lineRule="atLeast"/>
        <w:jc w:val="both"/>
        <w:rPr>
          <w:rFonts w:eastAsia="Times New Roman" w:cs="Times New Roman"/>
          <w:sz w:val="26"/>
          <w:szCs w:val="26"/>
        </w:rPr>
      </w:pPr>
      <w:r w:rsidRPr="00CB5AAF">
        <w:rPr>
          <w:rFonts w:eastAsia="Times New Roman" w:cs="Times New Roman"/>
          <w:i/>
          <w:iCs/>
          <w:sz w:val="26"/>
          <w:szCs w:val="26"/>
          <w:lang w:val="vi-VN"/>
        </w:rPr>
        <w:t>Căn cứ Luật Kế toán số 88/2015/QH11 ngày 20 tháng 11 năm 2015;</w:t>
      </w:r>
    </w:p>
    <w:p w:rsidR="00501CE9" w:rsidRPr="00CB5AAF" w:rsidRDefault="00501CE9" w:rsidP="00182FD4">
      <w:pPr>
        <w:shd w:val="clear" w:color="auto" w:fill="FFFFFF"/>
        <w:spacing w:before="120" w:after="0" w:line="304" w:lineRule="atLeast"/>
        <w:jc w:val="both"/>
        <w:rPr>
          <w:rFonts w:eastAsia="Times New Roman" w:cs="Times New Roman"/>
          <w:sz w:val="26"/>
          <w:szCs w:val="26"/>
        </w:rPr>
      </w:pPr>
      <w:r w:rsidRPr="00CB5AAF">
        <w:rPr>
          <w:rFonts w:eastAsia="Times New Roman" w:cs="Times New Roman"/>
          <w:i/>
          <w:iCs/>
          <w:sz w:val="26"/>
          <w:szCs w:val="26"/>
          <w:lang w:val="vi-VN"/>
        </w:rPr>
        <w:t>Căn cứ Luật Thuế giá trị gia tăng số 13/2008/QH12 ngày 03 tháng 6 năm 2008 và Luật sửa đổi, bổ sung một số điều của Luật Thuế giá trị gia tăng số 31/2013/QH13 ngày 19 tháng 6 năm 2013;</w:t>
      </w:r>
    </w:p>
    <w:p w:rsidR="00501CE9" w:rsidRPr="00CB5AAF" w:rsidRDefault="00501CE9" w:rsidP="00182FD4">
      <w:pPr>
        <w:shd w:val="clear" w:color="auto" w:fill="FFFFFF"/>
        <w:spacing w:before="120" w:after="0" w:line="304" w:lineRule="atLeast"/>
        <w:jc w:val="both"/>
        <w:rPr>
          <w:rFonts w:eastAsia="Times New Roman" w:cs="Times New Roman"/>
          <w:sz w:val="26"/>
          <w:szCs w:val="26"/>
        </w:rPr>
      </w:pPr>
      <w:r w:rsidRPr="00CB5AAF">
        <w:rPr>
          <w:rFonts w:eastAsia="Times New Roman" w:cs="Times New Roman"/>
          <w:i/>
          <w:iCs/>
          <w:sz w:val="26"/>
          <w:szCs w:val="26"/>
          <w:lang w:val="vi-VN"/>
        </w:rPr>
        <w:t>Căn cứ Luật Giao dịch điện tử số 51/2005/QH11 ngày 29 tháng 11 năm 2005;</w:t>
      </w:r>
    </w:p>
    <w:p w:rsidR="00501CE9" w:rsidRPr="00CB5AAF" w:rsidRDefault="00501CE9" w:rsidP="00182FD4">
      <w:pPr>
        <w:shd w:val="clear" w:color="auto" w:fill="FFFFFF"/>
        <w:spacing w:after="0" w:line="304" w:lineRule="atLeast"/>
        <w:jc w:val="both"/>
        <w:rPr>
          <w:rFonts w:eastAsia="Times New Roman" w:cs="Times New Roman"/>
          <w:sz w:val="26"/>
          <w:szCs w:val="26"/>
        </w:rPr>
      </w:pPr>
      <w:r w:rsidRPr="00CB5AAF">
        <w:rPr>
          <w:rFonts w:eastAsia="Times New Roman" w:cs="Times New Roman"/>
          <w:i/>
          <w:iCs/>
          <w:sz w:val="26"/>
          <w:szCs w:val="26"/>
          <w:lang w:val="vi-VN"/>
        </w:rPr>
        <w:t>Căn cứ Nghị định số </w:t>
      </w:r>
      <w:hyperlink r:id="rId5" w:tgtFrame="_blank" w:history="1">
        <w:r w:rsidRPr="00CB5AAF">
          <w:rPr>
            <w:rFonts w:eastAsia="Times New Roman" w:cs="Times New Roman"/>
            <w:i/>
            <w:iCs/>
            <w:sz w:val="26"/>
            <w:szCs w:val="26"/>
            <w:lang w:val="vi-VN"/>
          </w:rPr>
          <w:t>51/2010/NĐ-CP</w:t>
        </w:r>
      </w:hyperlink>
      <w:r w:rsidRPr="00CB5AAF">
        <w:rPr>
          <w:rFonts w:eastAsia="Times New Roman" w:cs="Times New Roman"/>
          <w:i/>
          <w:iCs/>
          <w:sz w:val="26"/>
          <w:szCs w:val="26"/>
          <w:lang w:val="vi-VN"/>
        </w:rPr>
        <w:t> ngày 14 tháng 5 năm 2010 của Chính phủ quy định về hóa đơn bán hàng hóa, cung ứng dịch vụ; Nghị định số </w:t>
      </w:r>
      <w:hyperlink r:id="rId6" w:tgtFrame="_blank" w:history="1">
        <w:r w:rsidRPr="00CB5AAF">
          <w:rPr>
            <w:rFonts w:eastAsia="Times New Roman" w:cs="Times New Roman"/>
            <w:i/>
            <w:iCs/>
            <w:sz w:val="26"/>
            <w:szCs w:val="26"/>
            <w:lang w:val="vi-VN"/>
          </w:rPr>
          <w:t>04/2014/NĐ-CP</w:t>
        </w:r>
      </w:hyperlink>
      <w:r w:rsidRPr="00CB5AAF">
        <w:rPr>
          <w:rFonts w:eastAsia="Times New Roman" w:cs="Times New Roman"/>
          <w:i/>
          <w:iCs/>
          <w:sz w:val="26"/>
          <w:szCs w:val="26"/>
          <w:lang w:val="vi-VN"/>
        </w:rPr>
        <w:t> ngày 17 tháng 01 năm 2014 sửa đổi, bổ sung một số điều của Nghị định số </w:t>
      </w:r>
      <w:hyperlink r:id="rId7" w:tgtFrame="_blank" w:history="1">
        <w:r w:rsidRPr="00CB5AAF">
          <w:rPr>
            <w:rFonts w:eastAsia="Times New Roman" w:cs="Times New Roman"/>
            <w:i/>
            <w:iCs/>
            <w:sz w:val="26"/>
            <w:szCs w:val="26"/>
            <w:lang w:val="vi-VN"/>
          </w:rPr>
          <w:t>51/2010/NĐ-CP</w:t>
        </w:r>
      </w:hyperlink>
      <w:r w:rsidRPr="00CB5AAF">
        <w:rPr>
          <w:rFonts w:eastAsia="Times New Roman" w:cs="Times New Roman"/>
          <w:i/>
          <w:iCs/>
          <w:sz w:val="26"/>
          <w:szCs w:val="26"/>
          <w:lang w:val="vi-VN"/>
        </w:rPr>
        <w:t> ngày 14 tháng 5 năm 2010 của Chính phủ;</w:t>
      </w:r>
    </w:p>
    <w:p w:rsidR="00501CE9" w:rsidRPr="00CB5AAF" w:rsidRDefault="00501CE9" w:rsidP="00182FD4">
      <w:pPr>
        <w:shd w:val="clear" w:color="auto" w:fill="FFFFFF"/>
        <w:spacing w:after="0" w:line="304" w:lineRule="atLeast"/>
        <w:jc w:val="both"/>
        <w:rPr>
          <w:rFonts w:eastAsia="Times New Roman" w:cs="Times New Roman"/>
          <w:sz w:val="26"/>
          <w:szCs w:val="26"/>
        </w:rPr>
      </w:pPr>
      <w:r w:rsidRPr="00CB5AAF">
        <w:rPr>
          <w:rFonts w:eastAsia="Times New Roman" w:cs="Times New Roman"/>
          <w:i/>
          <w:iCs/>
          <w:sz w:val="26"/>
          <w:szCs w:val="26"/>
          <w:lang w:val="vi-VN"/>
        </w:rPr>
        <w:t>Căn cứ Nghị định số </w:t>
      </w:r>
      <w:hyperlink r:id="rId8" w:tgtFrame="_blank" w:history="1">
        <w:r w:rsidRPr="00CB5AAF">
          <w:rPr>
            <w:rFonts w:eastAsia="Times New Roman" w:cs="Times New Roman"/>
            <w:i/>
            <w:iCs/>
            <w:sz w:val="26"/>
            <w:szCs w:val="26"/>
            <w:lang w:val="vi-VN"/>
          </w:rPr>
          <w:t>215/2013/NĐ-CP</w:t>
        </w:r>
      </w:hyperlink>
      <w:r w:rsidRPr="00CB5AAF">
        <w:rPr>
          <w:rFonts w:eastAsia="Times New Roman" w:cs="Times New Roman"/>
          <w:i/>
          <w:iCs/>
          <w:sz w:val="26"/>
          <w:szCs w:val="26"/>
          <w:lang w:val="vi-VN"/>
        </w:rPr>
        <w:t> ngày 23 tháng 12 năm 2013 của Chính phủ quy định chức năng, nhiệm vụ, quyền hạn và cơ cấu tổ chức của Bộ Tài chính;</w:t>
      </w:r>
    </w:p>
    <w:p w:rsidR="00501CE9" w:rsidRPr="00CB5AAF" w:rsidRDefault="00501CE9" w:rsidP="00182FD4">
      <w:pPr>
        <w:shd w:val="clear" w:color="auto" w:fill="FFFFFF"/>
        <w:spacing w:before="120" w:after="0" w:line="304" w:lineRule="atLeast"/>
        <w:jc w:val="both"/>
        <w:rPr>
          <w:rFonts w:eastAsia="Times New Roman" w:cs="Times New Roman"/>
          <w:sz w:val="26"/>
          <w:szCs w:val="26"/>
        </w:rPr>
      </w:pPr>
      <w:r w:rsidRPr="00CB5AAF">
        <w:rPr>
          <w:rFonts w:eastAsia="Times New Roman" w:cs="Times New Roman"/>
          <w:i/>
          <w:iCs/>
          <w:sz w:val="26"/>
          <w:szCs w:val="26"/>
          <w:lang w:val="vi-VN"/>
        </w:rPr>
        <w:t>Căn cứ Nghị quyết 19-2017/NQ-CP ngày 6 tháng 2 năm 2011 của Chính phủ về tiếp tục thực hiện những nhiệm vụ, giải pháp chủ yếu cải thiện môi trường kinh doanh, nâng cao năng lực cạnh tranh quốc gia năm 2017, định hướng đến năm 2020.</w:t>
      </w:r>
    </w:p>
    <w:p w:rsidR="00501CE9" w:rsidRPr="00CB5AAF" w:rsidRDefault="00501CE9" w:rsidP="00182FD4">
      <w:pPr>
        <w:shd w:val="clear" w:color="auto" w:fill="FFFFFF"/>
        <w:spacing w:before="120" w:after="0" w:line="304" w:lineRule="atLeast"/>
        <w:jc w:val="both"/>
        <w:rPr>
          <w:rFonts w:eastAsia="Times New Roman" w:cs="Times New Roman"/>
          <w:sz w:val="26"/>
          <w:szCs w:val="26"/>
        </w:rPr>
      </w:pPr>
      <w:r w:rsidRPr="00CB5AAF">
        <w:rPr>
          <w:rFonts w:eastAsia="Times New Roman" w:cs="Times New Roman"/>
          <w:i/>
          <w:iCs/>
          <w:sz w:val="26"/>
          <w:szCs w:val="26"/>
          <w:lang w:val="vi-VN"/>
        </w:rPr>
        <w:t>Theo đề nghị của Tổng cục trưởng Tổng cục Thuế,</w:t>
      </w:r>
    </w:p>
    <w:p w:rsidR="00501CE9" w:rsidRPr="00CB5AAF" w:rsidRDefault="00501CE9" w:rsidP="00182FD4">
      <w:pPr>
        <w:shd w:val="clear" w:color="auto" w:fill="FFFFFF"/>
        <w:spacing w:before="120" w:after="0" w:line="304" w:lineRule="atLeast"/>
        <w:jc w:val="both"/>
        <w:rPr>
          <w:rFonts w:eastAsia="Times New Roman" w:cs="Times New Roman"/>
          <w:sz w:val="26"/>
          <w:szCs w:val="26"/>
        </w:rPr>
      </w:pPr>
      <w:r w:rsidRPr="00CB5AAF">
        <w:rPr>
          <w:rFonts w:eastAsia="Times New Roman" w:cs="Times New Roman"/>
          <w:i/>
          <w:iCs/>
          <w:sz w:val="26"/>
          <w:szCs w:val="26"/>
          <w:lang w:val="vi-VN"/>
        </w:rPr>
        <w:t>Bộ trưởng Bộ Tài chính ban hành Thông tư sửa đổi, bổ sung một số điều tại các Thông tư hướng dẫn về hóa đơn bán hàng h</w:t>
      </w:r>
      <w:r w:rsidRPr="00CB5AAF">
        <w:rPr>
          <w:rFonts w:eastAsia="Times New Roman" w:cs="Times New Roman"/>
          <w:i/>
          <w:iCs/>
          <w:sz w:val="26"/>
          <w:szCs w:val="26"/>
        </w:rPr>
        <w:t>óa</w:t>
      </w:r>
      <w:r w:rsidRPr="00CB5AAF">
        <w:rPr>
          <w:rFonts w:eastAsia="Times New Roman" w:cs="Times New Roman"/>
          <w:i/>
          <w:iCs/>
          <w:sz w:val="26"/>
          <w:szCs w:val="26"/>
          <w:lang w:val="vi-VN"/>
        </w:rPr>
        <w:t>, cung ứng dịch vụ như sau:</w:t>
      </w:r>
    </w:p>
    <w:p w:rsidR="00501CE9" w:rsidRPr="00CB5AAF" w:rsidRDefault="00501CE9" w:rsidP="00182FD4">
      <w:pPr>
        <w:shd w:val="clear" w:color="auto" w:fill="FFFFFF"/>
        <w:spacing w:after="0" w:line="304" w:lineRule="atLeast"/>
        <w:jc w:val="both"/>
        <w:rPr>
          <w:rFonts w:eastAsia="Times New Roman" w:cs="Times New Roman"/>
          <w:sz w:val="26"/>
          <w:szCs w:val="26"/>
        </w:rPr>
      </w:pPr>
      <w:r w:rsidRPr="00CB5AAF">
        <w:rPr>
          <w:rFonts w:eastAsia="Times New Roman" w:cs="Times New Roman"/>
          <w:b/>
          <w:bCs/>
          <w:sz w:val="26"/>
          <w:szCs w:val="26"/>
          <w:lang w:val="vi-VN"/>
        </w:rPr>
        <w:t>Điều 1.</w:t>
      </w:r>
      <w:r w:rsidRPr="00CB5AAF">
        <w:rPr>
          <w:rFonts w:eastAsia="Times New Roman" w:cs="Times New Roman"/>
          <w:sz w:val="26"/>
          <w:szCs w:val="26"/>
          <w:lang w:val="vi-VN"/>
        </w:rPr>
        <w:t> </w:t>
      </w:r>
      <w:r w:rsidRPr="00CB5AAF">
        <w:rPr>
          <w:rFonts w:eastAsia="Times New Roman" w:cs="Times New Roman"/>
          <w:b/>
          <w:bCs/>
          <w:sz w:val="26"/>
          <w:szCs w:val="26"/>
          <w:lang w:val="vi-VN"/>
        </w:rPr>
        <w:t>Sửa đổi, bổ sung một số điều của Thông tư số </w:t>
      </w:r>
      <w:hyperlink r:id="rId9" w:tgtFrame="_blank" w:history="1">
        <w:r w:rsidRPr="00CB5AAF">
          <w:rPr>
            <w:rFonts w:eastAsia="Times New Roman" w:cs="Times New Roman"/>
            <w:b/>
            <w:bCs/>
            <w:sz w:val="26"/>
            <w:szCs w:val="26"/>
            <w:lang w:val="vi-VN"/>
          </w:rPr>
          <w:t>39/2014/TT-BTC</w:t>
        </w:r>
      </w:hyperlink>
      <w:r w:rsidRPr="00CB5AAF">
        <w:rPr>
          <w:rFonts w:eastAsia="Times New Roman" w:cs="Times New Roman"/>
          <w:b/>
          <w:bCs/>
          <w:sz w:val="26"/>
          <w:szCs w:val="26"/>
          <w:lang w:val="vi-VN"/>
        </w:rPr>
        <w:t> (đã được sửa đổi, bổ sung theo Thông tư số </w:t>
      </w:r>
      <w:hyperlink r:id="rId10" w:tgtFrame="_blank" w:history="1">
        <w:r w:rsidRPr="00CB5AAF">
          <w:rPr>
            <w:rFonts w:eastAsia="Times New Roman" w:cs="Times New Roman"/>
            <w:b/>
            <w:bCs/>
            <w:sz w:val="26"/>
            <w:szCs w:val="26"/>
            <w:lang w:val="vi-VN"/>
          </w:rPr>
          <w:t>119/2014/TT-BTC</w:t>
        </w:r>
      </w:hyperlink>
      <w:r w:rsidRPr="00CB5AAF">
        <w:rPr>
          <w:rFonts w:eastAsia="Times New Roman" w:cs="Times New Roman"/>
          <w:b/>
          <w:bCs/>
          <w:sz w:val="26"/>
          <w:szCs w:val="26"/>
          <w:lang w:val="vi-VN"/>
        </w:rPr>
        <w:t> ngày 25/8/2014, Thông tư số </w:t>
      </w:r>
      <w:hyperlink r:id="rId11" w:tgtFrame="_blank" w:history="1">
        <w:r w:rsidRPr="00CB5AAF">
          <w:rPr>
            <w:rFonts w:eastAsia="Times New Roman" w:cs="Times New Roman"/>
            <w:b/>
            <w:bCs/>
            <w:sz w:val="26"/>
            <w:szCs w:val="26"/>
            <w:lang w:val="vi-VN"/>
          </w:rPr>
          <w:t>26/2015/TT-BTC</w:t>
        </w:r>
      </w:hyperlink>
      <w:r w:rsidRPr="00CB5AAF">
        <w:rPr>
          <w:rFonts w:eastAsia="Times New Roman" w:cs="Times New Roman"/>
          <w:b/>
          <w:bCs/>
          <w:sz w:val="26"/>
          <w:szCs w:val="26"/>
          <w:lang w:val="vi-VN"/>
        </w:rPr>
        <w:t> ngày 27/02/2015 của Bộ Tài chính) như sau:</w:t>
      </w:r>
    </w:p>
    <w:p w:rsidR="00501CE9" w:rsidRPr="00CB5AAF" w:rsidRDefault="00501CE9" w:rsidP="00182FD4">
      <w:pPr>
        <w:shd w:val="clear" w:color="auto" w:fill="FFFFFF"/>
        <w:spacing w:after="0" w:line="304" w:lineRule="atLeast"/>
        <w:jc w:val="both"/>
        <w:rPr>
          <w:rFonts w:eastAsia="Times New Roman" w:cs="Times New Roman"/>
          <w:sz w:val="26"/>
          <w:szCs w:val="26"/>
        </w:rPr>
      </w:pPr>
      <w:r w:rsidRPr="00CB5AAF">
        <w:rPr>
          <w:rFonts w:eastAsia="Times New Roman" w:cs="Times New Roman"/>
          <w:b/>
          <w:bCs/>
          <w:sz w:val="26"/>
          <w:szCs w:val="26"/>
          <w:lang w:val="vi-VN"/>
        </w:rPr>
        <w:t>1. Sửa đổi, bổ sung </w:t>
      </w:r>
      <w:bookmarkStart w:id="0" w:name="dc_1"/>
      <w:r w:rsidRPr="00CB5AAF">
        <w:rPr>
          <w:rFonts w:eastAsia="Times New Roman" w:cs="Times New Roman"/>
          <w:b/>
          <w:bCs/>
          <w:sz w:val="26"/>
          <w:szCs w:val="26"/>
          <w:lang w:val="vi-VN"/>
        </w:rPr>
        <w:t>gạch đầu dòng cuối điểm b khoản 1 Điều 6</w:t>
      </w:r>
      <w:bookmarkEnd w:id="0"/>
      <w:r w:rsidRPr="00CB5AAF">
        <w:rPr>
          <w:rFonts w:eastAsia="Times New Roman" w:cs="Times New Roman"/>
          <w:b/>
          <w:bCs/>
          <w:sz w:val="26"/>
          <w:szCs w:val="26"/>
          <w:lang w:val="vi-VN"/>
        </w:rPr>
        <w:t> như sau:</w:t>
      </w:r>
    </w:p>
    <w:p w:rsidR="00501CE9" w:rsidRPr="00CB5AAF" w:rsidRDefault="00501CE9" w:rsidP="00182FD4">
      <w:pPr>
        <w:shd w:val="clear" w:color="auto" w:fill="FFFFFF"/>
        <w:spacing w:before="120" w:after="0" w:line="304" w:lineRule="atLeast"/>
        <w:jc w:val="both"/>
        <w:rPr>
          <w:rFonts w:eastAsia="Times New Roman" w:cs="Times New Roman"/>
          <w:sz w:val="26"/>
          <w:szCs w:val="26"/>
        </w:rPr>
      </w:pPr>
      <w:r w:rsidRPr="00CB5AAF">
        <w:rPr>
          <w:rFonts w:eastAsia="Times New Roman" w:cs="Times New Roman"/>
          <w:sz w:val="26"/>
          <w:szCs w:val="26"/>
          <w:lang w:val="vi-VN"/>
        </w:rPr>
        <w:t>“Có văn bản đề nghị sử dụng hóa đơn tự in (Mẫu số 3.14 Phụ lục 3 ban hành kèm theo Thông tư này) và được cơ quan thuế quản lý trực tiếp xác nhận đủ điều kiện. Trong thời hạn 02 ngày làm việc kể từ khi nhận được văn bản đề nghị của doanh nghiệp, cơ quan thuế quản lý trực tiếp phải có ý kiến về điều kiện sử dụng hóa đơn tự in của doanh nghiệp (Mẫu số 3.15 Phụ lục 3 ban hành kèm theo Thông tư này).</w:t>
      </w:r>
    </w:p>
    <w:p w:rsidR="00501CE9" w:rsidRPr="00CB5AAF" w:rsidRDefault="00501CE9" w:rsidP="00182FD4">
      <w:pPr>
        <w:shd w:val="clear" w:color="auto" w:fill="FFFFFF"/>
        <w:spacing w:before="120" w:after="0" w:line="304" w:lineRule="atLeast"/>
        <w:jc w:val="both"/>
        <w:rPr>
          <w:rFonts w:eastAsia="Times New Roman" w:cs="Times New Roman"/>
          <w:sz w:val="26"/>
          <w:szCs w:val="26"/>
        </w:rPr>
      </w:pPr>
      <w:r w:rsidRPr="00CB5AAF">
        <w:rPr>
          <w:rFonts w:eastAsia="Times New Roman" w:cs="Times New Roman"/>
          <w:sz w:val="26"/>
          <w:szCs w:val="26"/>
          <w:lang w:val="vi-VN"/>
        </w:rPr>
        <w:t>Trường hợp sau 02 ngày làm việc cơ quan quản lý thuế trực tiếp không có ý kiến bằng văn bản thì doanh nghiệp được sử dụng hóa đơn tự in. Thủ trưởng cơ quan thuế phải chịu trách nhiệm về việc không có ý kiến bằng văn bản trả lời doanh nghiệp”</w:t>
      </w:r>
    </w:p>
    <w:p w:rsidR="00501CE9" w:rsidRPr="00CB5AAF" w:rsidRDefault="00501CE9" w:rsidP="00182FD4">
      <w:pPr>
        <w:shd w:val="clear" w:color="auto" w:fill="FFFFFF"/>
        <w:spacing w:after="0" w:line="304" w:lineRule="atLeast"/>
        <w:jc w:val="both"/>
        <w:rPr>
          <w:rFonts w:eastAsia="Times New Roman" w:cs="Times New Roman"/>
          <w:sz w:val="26"/>
          <w:szCs w:val="26"/>
        </w:rPr>
      </w:pPr>
      <w:r w:rsidRPr="00CB5AAF">
        <w:rPr>
          <w:rFonts w:eastAsia="Times New Roman" w:cs="Times New Roman"/>
          <w:b/>
          <w:bCs/>
          <w:sz w:val="26"/>
          <w:szCs w:val="26"/>
          <w:lang w:val="vi-VN"/>
        </w:rPr>
        <w:t>2. Sửa đổi, bổ sung </w:t>
      </w:r>
      <w:bookmarkStart w:id="1" w:name="dc_2"/>
      <w:r w:rsidRPr="00CB5AAF">
        <w:rPr>
          <w:rFonts w:eastAsia="Times New Roman" w:cs="Times New Roman"/>
          <w:b/>
          <w:bCs/>
          <w:sz w:val="26"/>
          <w:szCs w:val="26"/>
          <w:lang w:val="vi-VN"/>
        </w:rPr>
        <w:t>khổ cuối điểm b khoản 1 Điều 8</w:t>
      </w:r>
      <w:bookmarkEnd w:id="1"/>
      <w:r w:rsidRPr="00CB5AAF">
        <w:rPr>
          <w:rFonts w:eastAsia="Times New Roman" w:cs="Times New Roman"/>
          <w:b/>
          <w:bCs/>
          <w:sz w:val="26"/>
          <w:szCs w:val="26"/>
          <w:lang w:val="vi-VN"/>
        </w:rPr>
        <w:t> như sau:</w:t>
      </w:r>
    </w:p>
    <w:p w:rsidR="00501CE9" w:rsidRPr="00CB5AAF" w:rsidRDefault="00501CE9" w:rsidP="00182FD4">
      <w:pPr>
        <w:shd w:val="clear" w:color="auto" w:fill="FFFFFF"/>
        <w:spacing w:before="120" w:after="0" w:line="304" w:lineRule="atLeast"/>
        <w:jc w:val="both"/>
        <w:rPr>
          <w:rFonts w:eastAsia="Times New Roman" w:cs="Times New Roman"/>
          <w:sz w:val="26"/>
          <w:szCs w:val="26"/>
        </w:rPr>
      </w:pPr>
      <w:r w:rsidRPr="00CB5AAF">
        <w:rPr>
          <w:rFonts w:eastAsia="Times New Roman" w:cs="Times New Roman"/>
          <w:sz w:val="26"/>
          <w:szCs w:val="26"/>
          <w:lang w:val="vi-VN"/>
        </w:rPr>
        <w:t>“Trong thời hạn 02 ngày làm việc kể từ khi nhận được đề nghị của tổ chức, doanh nghiệp, cơ quan thuế quản lý trực tiếp phải có Thông báo về việc sử dụng hóa đơn đặt in (Mẫu số 3.15 Phụ lục 3 ban hành kèm theo Thông tư này).</w:t>
      </w:r>
    </w:p>
    <w:p w:rsidR="00501CE9" w:rsidRPr="00CB5AAF" w:rsidRDefault="00501CE9" w:rsidP="00182FD4">
      <w:pPr>
        <w:shd w:val="clear" w:color="auto" w:fill="FFFFFF"/>
        <w:spacing w:before="120" w:after="0" w:line="304" w:lineRule="atLeast"/>
        <w:jc w:val="both"/>
        <w:rPr>
          <w:rFonts w:eastAsia="Times New Roman" w:cs="Times New Roman"/>
          <w:sz w:val="26"/>
          <w:szCs w:val="26"/>
        </w:rPr>
      </w:pPr>
      <w:r w:rsidRPr="00CB5AAF">
        <w:rPr>
          <w:rFonts w:eastAsia="Times New Roman" w:cs="Times New Roman"/>
          <w:sz w:val="26"/>
          <w:szCs w:val="26"/>
          <w:lang w:val="vi-VN"/>
        </w:rPr>
        <w:lastRenderedPageBreak/>
        <w:t>Trường hợp sau 02 ngày làm việc cơ quan quản lý thuế trực tiếp không có ý kiến bằng văn bản thì doanh nghiệp được sử dụng hóa đơn đặt in. Thủ trưởng cơ quan thuế phải chịu trách nhiệm về việc không có ý kiến bằng văn bản trả lời doanh nghiệp.”</w:t>
      </w:r>
    </w:p>
    <w:p w:rsidR="00501CE9" w:rsidRPr="00CB5AAF" w:rsidRDefault="00501CE9" w:rsidP="00182FD4">
      <w:pPr>
        <w:shd w:val="clear" w:color="auto" w:fill="FFFFFF"/>
        <w:spacing w:after="0" w:line="304" w:lineRule="atLeast"/>
        <w:jc w:val="both"/>
        <w:rPr>
          <w:rFonts w:eastAsia="Times New Roman" w:cs="Times New Roman"/>
          <w:sz w:val="26"/>
          <w:szCs w:val="26"/>
        </w:rPr>
      </w:pPr>
      <w:r w:rsidRPr="00CB5AAF">
        <w:rPr>
          <w:rFonts w:eastAsia="Times New Roman" w:cs="Times New Roman"/>
          <w:b/>
          <w:bCs/>
          <w:sz w:val="26"/>
          <w:szCs w:val="26"/>
          <w:lang w:val="vi-VN"/>
        </w:rPr>
        <w:t>3. Sửa đổi, bổ sung </w:t>
      </w:r>
      <w:bookmarkStart w:id="2" w:name="dc_3"/>
      <w:r w:rsidRPr="00CB5AAF">
        <w:rPr>
          <w:rFonts w:eastAsia="Times New Roman" w:cs="Times New Roman"/>
          <w:b/>
          <w:bCs/>
          <w:sz w:val="26"/>
          <w:szCs w:val="26"/>
          <w:lang w:val="vi-VN"/>
        </w:rPr>
        <w:t>khoản 4 Điều 9</w:t>
      </w:r>
      <w:bookmarkEnd w:id="2"/>
      <w:r w:rsidRPr="00CB5AAF">
        <w:rPr>
          <w:rFonts w:eastAsia="Times New Roman" w:cs="Times New Roman"/>
          <w:b/>
          <w:bCs/>
          <w:sz w:val="26"/>
          <w:szCs w:val="26"/>
          <w:lang w:val="vi-VN"/>
        </w:rPr>
        <w:t> như sau:</w:t>
      </w:r>
    </w:p>
    <w:p w:rsidR="00501CE9" w:rsidRPr="00CB5AAF" w:rsidRDefault="00501CE9" w:rsidP="00182FD4">
      <w:pPr>
        <w:shd w:val="clear" w:color="auto" w:fill="FFFFFF"/>
        <w:spacing w:before="120" w:after="0" w:line="304" w:lineRule="atLeast"/>
        <w:jc w:val="both"/>
        <w:rPr>
          <w:rFonts w:eastAsia="Times New Roman" w:cs="Times New Roman"/>
          <w:sz w:val="26"/>
          <w:szCs w:val="26"/>
        </w:rPr>
      </w:pPr>
      <w:r w:rsidRPr="00CB5AAF">
        <w:rPr>
          <w:rFonts w:eastAsia="Times New Roman" w:cs="Times New Roman"/>
          <w:sz w:val="26"/>
          <w:szCs w:val="26"/>
          <w:lang w:val="vi-VN"/>
        </w:rPr>
        <w:t>“4. Thông báo phát hành hóa đơn và hóa đơn mẫu phải được gửi đến cơ quan thuế quản lý trực tiếp chậm nhất hai (02) ngày trước khi tổ chức kinh doanh bắt đầu sử dụng hóa đơn. Thông báo phát hành hóa đơn gồm cả hóa đơn mẫu phải được niêm yết rõ ràng ngay tại các cơ sở sử dụng hóa đơn để bán hàng hóa, dịch vụ trong suốt thời gian sử dụng hóa đơn, Cơ quan quản lý thuế có trách nhiệm hướng dẫn tổ chức kinh doanh thanh lý hợp đồng in khi đã lập tờ Thông báo phát hành hóa đơn đối với hợp đồng đặt in h</w:t>
      </w:r>
      <w:r w:rsidRPr="00CB5AAF">
        <w:rPr>
          <w:rFonts w:eastAsia="Times New Roman" w:cs="Times New Roman"/>
          <w:sz w:val="26"/>
          <w:szCs w:val="26"/>
        </w:rPr>
        <w:t>óa </w:t>
      </w:r>
      <w:r w:rsidRPr="00CB5AAF">
        <w:rPr>
          <w:rFonts w:eastAsia="Times New Roman" w:cs="Times New Roman"/>
          <w:sz w:val="26"/>
          <w:szCs w:val="26"/>
          <w:lang w:val="vi-VN"/>
        </w:rPr>
        <w:t>đơn không quy định thời hạn thanh lý hợp đồng (đối với h</w:t>
      </w:r>
      <w:r w:rsidRPr="00CB5AAF">
        <w:rPr>
          <w:rFonts w:eastAsia="Times New Roman" w:cs="Times New Roman"/>
          <w:sz w:val="26"/>
          <w:szCs w:val="26"/>
        </w:rPr>
        <w:t>óa </w:t>
      </w:r>
      <w:r w:rsidRPr="00CB5AAF">
        <w:rPr>
          <w:rFonts w:eastAsia="Times New Roman" w:cs="Times New Roman"/>
          <w:sz w:val="26"/>
          <w:szCs w:val="26"/>
          <w:lang w:val="vi-VN"/>
        </w:rPr>
        <w:t>đơn đặt in) và không bị xử phạt.</w:t>
      </w:r>
    </w:p>
    <w:p w:rsidR="00501CE9" w:rsidRPr="00CB5AAF" w:rsidRDefault="00501CE9" w:rsidP="00182FD4">
      <w:pPr>
        <w:shd w:val="clear" w:color="auto" w:fill="FFFFFF"/>
        <w:spacing w:before="120" w:after="0" w:line="304" w:lineRule="atLeast"/>
        <w:jc w:val="both"/>
        <w:rPr>
          <w:rFonts w:eastAsia="Times New Roman" w:cs="Times New Roman"/>
          <w:sz w:val="26"/>
          <w:szCs w:val="26"/>
        </w:rPr>
      </w:pPr>
      <w:r w:rsidRPr="00CB5AAF">
        <w:rPr>
          <w:rFonts w:eastAsia="Times New Roman" w:cs="Times New Roman"/>
          <w:sz w:val="26"/>
          <w:szCs w:val="26"/>
          <w:lang w:val="vi-VN"/>
        </w:rPr>
        <w:t>Trường hợp tổ chức kinh doanh khi gửi thông báo phát hành từ lần thứ 2 trở đi, nếu không có sự thay đổi về nội dung và hình thức hóa đơn phát hành thì không cần phải gửi kèm hóa đơn mẫu.</w:t>
      </w:r>
    </w:p>
    <w:p w:rsidR="00501CE9" w:rsidRPr="00CB5AAF" w:rsidRDefault="00501CE9" w:rsidP="00182FD4">
      <w:pPr>
        <w:shd w:val="clear" w:color="auto" w:fill="FFFFFF"/>
        <w:spacing w:before="120" w:after="0" w:line="304" w:lineRule="atLeast"/>
        <w:jc w:val="both"/>
        <w:rPr>
          <w:rFonts w:eastAsia="Times New Roman" w:cs="Times New Roman"/>
          <w:sz w:val="26"/>
          <w:szCs w:val="26"/>
        </w:rPr>
      </w:pPr>
      <w:r w:rsidRPr="00CB5AAF">
        <w:rPr>
          <w:rFonts w:eastAsia="Times New Roman" w:cs="Times New Roman"/>
          <w:sz w:val="26"/>
          <w:szCs w:val="26"/>
          <w:lang w:val="vi-VN"/>
        </w:rPr>
        <w:t>Trường hợp tổ chức có các đơn vị trực thuộc, chi nhánh có sử dụng chung mẫu hóa đơn của tổ chức nhưng khai thuế giá trị gia tăng riêng thì từng đơn vị trực thuộc, chi nhánh phải gửi Thông báo phát hành cho cơ quan thuế quản lý trực tiếp. Trường hợp tổ chức có các đơn vị trực thuộc, chi nhánh có sử dụng chung mẫu hóa đơn của tổ chức nhưng tổ chức thực hiện khai thuế giá trị gia tăng cho đơn vị trực thuộc, chi nhánh thì đơn vị trực thuộc, chi nhánh không phải Thông báo phát hành hóa đơn.</w:t>
      </w:r>
    </w:p>
    <w:p w:rsidR="00501CE9" w:rsidRPr="00CB5AAF" w:rsidRDefault="00501CE9" w:rsidP="00182FD4">
      <w:pPr>
        <w:shd w:val="clear" w:color="auto" w:fill="FFFFFF"/>
        <w:spacing w:before="120" w:after="0" w:line="304" w:lineRule="atLeast"/>
        <w:jc w:val="both"/>
        <w:rPr>
          <w:rFonts w:eastAsia="Times New Roman" w:cs="Times New Roman"/>
          <w:sz w:val="26"/>
          <w:szCs w:val="26"/>
        </w:rPr>
      </w:pPr>
      <w:r w:rsidRPr="00CB5AAF">
        <w:rPr>
          <w:rFonts w:eastAsia="Times New Roman" w:cs="Times New Roman"/>
          <w:sz w:val="26"/>
          <w:szCs w:val="26"/>
          <w:lang w:val="vi-VN"/>
        </w:rPr>
        <w:t>Tổng cục Thuế có trách nhiệm căn cứ nội dung phát hành hóa đơn của tổ chức để xây dựng hệ thống dữ liệu thông tin về hóa đơn trên trang thông tin điện tử của Tổng cục Thuế để tổ chức, cá nhân tra cứu được nội dung cần thiết về hóa đơn đã thông báo phát hành của tổ chức.</w:t>
      </w:r>
    </w:p>
    <w:p w:rsidR="00501CE9" w:rsidRPr="00CB5AAF" w:rsidRDefault="00501CE9" w:rsidP="00182FD4">
      <w:pPr>
        <w:shd w:val="clear" w:color="auto" w:fill="FFFFFF"/>
        <w:spacing w:before="120" w:after="0" w:line="304" w:lineRule="atLeast"/>
        <w:jc w:val="both"/>
        <w:rPr>
          <w:rFonts w:eastAsia="Times New Roman" w:cs="Times New Roman"/>
          <w:sz w:val="26"/>
          <w:szCs w:val="26"/>
        </w:rPr>
      </w:pPr>
      <w:r w:rsidRPr="00CB5AAF">
        <w:rPr>
          <w:rFonts w:eastAsia="Times New Roman" w:cs="Times New Roman"/>
          <w:sz w:val="26"/>
          <w:szCs w:val="26"/>
          <w:lang w:val="vi-VN"/>
        </w:rPr>
        <w:t>Trường hợp khi nhận được Thông báo phát hành do tổ chức gửi đến, cơ quan Thuế phát hiện thông báo phát hành không đảm bảo đủ nội dung theo đúng quy định thì trong thời hạn hai (02) ngày làm việc kể từ ngày nhận được Thông báo, cơ quan thuế phải có văn bản thông báo cho tổ chức biết. Tổ chức có trách nhiệm điều chỉnh để thông báo phát hành mới.”</w:t>
      </w:r>
    </w:p>
    <w:p w:rsidR="00501CE9" w:rsidRPr="00CB5AAF" w:rsidRDefault="00501CE9" w:rsidP="00182FD4">
      <w:pPr>
        <w:shd w:val="clear" w:color="auto" w:fill="FFFFFF"/>
        <w:spacing w:after="0" w:line="304" w:lineRule="atLeast"/>
        <w:jc w:val="both"/>
        <w:rPr>
          <w:rFonts w:eastAsia="Times New Roman" w:cs="Times New Roman"/>
          <w:sz w:val="26"/>
          <w:szCs w:val="26"/>
        </w:rPr>
      </w:pPr>
      <w:r w:rsidRPr="00CB5AAF">
        <w:rPr>
          <w:rFonts w:eastAsia="Times New Roman" w:cs="Times New Roman"/>
          <w:b/>
          <w:bCs/>
          <w:sz w:val="26"/>
          <w:szCs w:val="26"/>
          <w:lang w:val="vi-VN"/>
        </w:rPr>
        <w:t>4. Sửa đổi, bổ sung </w:t>
      </w:r>
      <w:bookmarkStart w:id="3" w:name="dc_4"/>
      <w:r w:rsidRPr="00CB5AAF">
        <w:rPr>
          <w:rFonts w:eastAsia="Times New Roman" w:cs="Times New Roman"/>
          <w:b/>
          <w:bCs/>
          <w:sz w:val="26"/>
          <w:szCs w:val="26"/>
          <w:lang w:val="vi-VN"/>
        </w:rPr>
        <w:t>điểm b khoản 2 Điều 12</w:t>
      </w:r>
      <w:bookmarkEnd w:id="3"/>
      <w:r w:rsidRPr="00CB5AAF">
        <w:rPr>
          <w:rFonts w:eastAsia="Times New Roman" w:cs="Times New Roman"/>
          <w:b/>
          <w:bCs/>
          <w:sz w:val="26"/>
          <w:szCs w:val="26"/>
          <w:lang w:val="vi-VN"/>
        </w:rPr>
        <w:t> như sau:</w:t>
      </w:r>
    </w:p>
    <w:p w:rsidR="00501CE9" w:rsidRPr="00CB5AAF" w:rsidRDefault="00501CE9" w:rsidP="00182FD4">
      <w:pPr>
        <w:shd w:val="clear" w:color="auto" w:fill="FFFFFF"/>
        <w:spacing w:before="120" w:after="0" w:line="304" w:lineRule="atLeast"/>
        <w:jc w:val="both"/>
        <w:rPr>
          <w:rFonts w:eastAsia="Times New Roman" w:cs="Times New Roman"/>
          <w:sz w:val="26"/>
          <w:szCs w:val="26"/>
        </w:rPr>
      </w:pPr>
      <w:r w:rsidRPr="00CB5AAF">
        <w:rPr>
          <w:rFonts w:eastAsia="Times New Roman" w:cs="Times New Roman"/>
          <w:sz w:val="26"/>
          <w:szCs w:val="26"/>
          <w:lang w:val="vi-VN"/>
        </w:rPr>
        <w:t>“b) Trách nhiệm của cơ quan thuế</w:t>
      </w:r>
    </w:p>
    <w:p w:rsidR="00501CE9" w:rsidRPr="00CB5AAF" w:rsidRDefault="00501CE9" w:rsidP="00182FD4">
      <w:pPr>
        <w:shd w:val="clear" w:color="auto" w:fill="FFFFFF"/>
        <w:spacing w:before="120" w:after="0" w:line="304" w:lineRule="atLeast"/>
        <w:jc w:val="both"/>
        <w:rPr>
          <w:rFonts w:eastAsia="Times New Roman" w:cs="Times New Roman"/>
          <w:sz w:val="26"/>
          <w:szCs w:val="26"/>
        </w:rPr>
      </w:pPr>
      <w:r w:rsidRPr="00CB5AAF">
        <w:rPr>
          <w:rFonts w:eastAsia="Times New Roman" w:cs="Times New Roman"/>
          <w:sz w:val="26"/>
          <w:szCs w:val="26"/>
          <w:lang w:val="vi-VN"/>
        </w:rPr>
        <w:t>Cơ quan thuế bán hóa đơn cho tổ chức, hộ, cá nhân kinh doanh theo tháng.</w:t>
      </w:r>
    </w:p>
    <w:p w:rsidR="00501CE9" w:rsidRPr="00CB5AAF" w:rsidRDefault="00501CE9" w:rsidP="00182FD4">
      <w:pPr>
        <w:shd w:val="clear" w:color="auto" w:fill="FFFFFF"/>
        <w:spacing w:before="120" w:after="0" w:line="304" w:lineRule="atLeast"/>
        <w:jc w:val="both"/>
        <w:rPr>
          <w:rFonts w:eastAsia="Times New Roman" w:cs="Times New Roman"/>
          <w:sz w:val="26"/>
          <w:szCs w:val="26"/>
        </w:rPr>
      </w:pPr>
      <w:r w:rsidRPr="00CB5AAF">
        <w:rPr>
          <w:rFonts w:eastAsia="Times New Roman" w:cs="Times New Roman"/>
          <w:sz w:val="26"/>
          <w:szCs w:val="26"/>
          <w:lang w:val="vi-VN"/>
        </w:rPr>
        <w:t>Số lượng hóa đơn bán cho tổ chức, hộ, cá nhân kinh doanh lần đầu không quá một quyển năm mươi (50) số cho mỗi loại hóa đơn. Trường hợp chưa hết tháng đã sử dụng hết hóa đơn mua lần đầu, cơ quan thuế căn cứ vào thời gian, số lượng hóa đơn đã sử dụng để quyết định số lượng hóa đơn bán lần tiếp theo.</w:t>
      </w:r>
    </w:p>
    <w:p w:rsidR="00501CE9" w:rsidRPr="00CB5AAF" w:rsidRDefault="00501CE9" w:rsidP="00182FD4">
      <w:pPr>
        <w:shd w:val="clear" w:color="auto" w:fill="FFFFFF"/>
        <w:spacing w:before="120" w:after="0" w:line="304" w:lineRule="atLeast"/>
        <w:jc w:val="both"/>
        <w:rPr>
          <w:rFonts w:eastAsia="Times New Roman" w:cs="Times New Roman"/>
          <w:sz w:val="26"/>
          <w:szCs w:val="26"/>
        </w:rPr>
      </w:pPr>
      <w:r w:rsidRPr="00CB5AAF">
        <w:rPr>
          <w:rFonts w:eastAsia="Times New Roman" w:cs="Times New Roman"/>
          <w:sz w:val="26"/>
          <w:szCs w:val="26"/>
          <w:lang w:val="vi-VN"/>
        </w:rPr>
        <w:t>Đối với các lần mua hóa đơn sau, căn cứ đề nghị mua hóa đơn trong đơn đề nghị mua hóa đơn, cơ quan thuế giải quyết bán hóa đơn cho tổ chức, hộ, cá nhân kinh doanh trong ngày, số lượng hóa đơn bán cho tổ chức, hộ, cá nhân kinh doanh không quá số lượng hóa đơn đã sử dụng của tháng mua trước đó.</w:t>
      </w:r>
    </w:p>
    <w:p w:rsidR="00501CE9" w:rsidRPr="00CB5AAF" w:rsidRDefault="00501CE9" w:rsidP="00182FD4">
      <w:pPr>
        <w:shd w:val="clear" w:color="auto" w:fill="FFFFFF"/>
        <w:spacing w:before="120" w:after="0" w:line="304" w:lineRule="atLeast"/>
        <w:jc w:val="both"/>
        <w:rPr>
          <w:rFonts w:eastAsia="Times New Roman" w:cs="Times New Roman"/>
          <w:sz w:val="26"/>
          <w:szCs w:val="26"/>
        </w:rPr>
      </w:pPr>
      <w:r w:rsidRPr="00CB5AAF">
        <w:rPr>
          <w:rFonts w:eastAsia="Times New Roman" w:cs="Times New Roman"/>
          <w:sz w:val="26"/>
          <w:szCs w:val="26"/>
          <w:lang w:val="vi-VN"/>
        </w:rPr>
        <w:t>Trường hợp hộ, cá nhân kinh doanh không có nhu cầu sử dụng hóa đơn quyển nhưng có nhu cầu sử dụng hóa đơn lẻ thì cơ quan thuế bán cho hộ, cá nhân kinh doanh hóa đơn lẻ (01 số) theo từng lần phát sinh và không thu tiền.</w:t>
      </w:r>
    </w:p>
    <w:p w:rsidR="00501CE9" w:rsidRPr="00CB5AAF" w:rsidRDefault="00501CE9" w:rsidP="00182FD4">
      <w:pPr>
        <w:shd w:val="clear" w:color="auto" w:fill="FFFFFF"/>
        <w:spacing w:before="120" w:after="0" w:line="304" w:lineRule="atLeast"/>
        <w:jc w:val="both"/>
        <w:rPr>
          <w:rFonts w:eastAsia="Times New Roman" w:cs="Times New Roman"/>
          <w:sz w:val="26"/>
          <w:szCs w:val="26"/>
        </w:rPr>
      </w:pPr>
      <w:r w:rsidRPr="00CB5AAF">
        <w:rPr>
          <w:rFonts w:eastAsia="Times New Roman" w:cs="Times New Roman"/>
          <w:sz w:val="26"/>
          <w:szCs w:val="26"/>
          <w:lang w:val="vi-VN"/>
        </w:rPr>
        <w:t xml:space="preserve">Tổ chức, doanh nghiệp thuộc đối tượng mua hóa đơn do cơ quan thuế phát hành chuyển sang tự tạo hóa đơn đặt in, hóa đơn tự in hoặc hóa đơn điện tử để sử dụng thì phải dừng sử </w:t>
      </w:r>
      <w:r w:rsidRPr="00CB5AAF">
        <w:rPr>
          <w:rFonts w:eastAsia="Times New Roman" w:cs="Times New Roman"/>
          <w:sz w:val="26"/>
          <w:szCs w:val="26"/>
          <w:lang w:val="vi-VN"/>
        </w:rPr>
        <w:lastRenderedPageBreak/>
        <w:t>dụng hóa đơn mua của cơ quan thuế kể từ ngày bắt đầu sử dụng hóa đơn tự tạo theo hướng dẫn tại Điều 21 Thông tư này.”</w:t>
      </w:r>
    </w:p>
    <w:p w:rsidR="00501CE9" w:rsidRPr="00CB5AAF" w:rsidRDefault="00501CE9" w:rsidP="00182FD4">
      <w:pPr>
        <w:shd w:val="clear" w:color="auto" w:fill="FFFFFF"/>
        <w:spacing w:before="120" w:after="0" w:line="304" w:lineRule="atLeast"/>
        <w:jc w:val="both"/>
        <w:rPr>
          <w:rFonts w:eastAsia="Times New Roman" w:cs="Times New Roman"/>
          <w:sz w:val="26"/>
          <w:szCs w:val="26"/>
        </w:rPr>
      </w:pPr>
      <w:r w:rsidRPr="00CB5AAF">
        <w:rPr>
          <w:rFonts w:eastAsia="Times New Roman" w:cs="Times New Roman"/>
          <w:b/>
          <w:bCs/>
          <w:sz w:val="26"/>
          <w:szCs w:val="26"/>
          <w:lang w:val="vi-VN"/>
        </w:rPr>
        <w:t>Điều 2. Hiệu lực thi hành</w:t>
      </w:r>
    </w:p>
    <w:p w:rsidR="00501CE9" w:rsidRPr="00CB5AAF" w:rsidRDefault="00501CE9" w:rsidP="00182FD4">
      <w:pPr>
        <w:shd w:val="clear" w:color="auto" w:fill="FFFFFF"/>
        <w:spacing w:before="120" w:after="0" w:line="304" w:lineRule="atLeast"/>
        <w:jc w:val="both"/>
        <w:rPr>
          <w:rFonts w:eastAsia="Times New Roman" w:cs="Times New Roman"/>
          <w:sz w:val="26"/>
          <w:szCs w:val="26"/>
        </w:rPr>
      </w:pPr>
      <w:r w:rsidRPr="00CB5AAF">
        <w:rPr>
          <w:rFonts w:eastAsia="Times New Roman" w:cs="Times New Roman"/>
          <w:sz w:val="26"/>
          <w:szCs w:val="26"/>
          <w:lang w:val="vi-VN"/>
        </w:rPr>
        <w:t>1. Thông tư này có hiệu lực thi hành kể từ ngày 12 tháng 6 năm 2017.</w:t>
      </w:r>
    </w:p>
    <w:p w:rsidR="00501CE9" w:rsidRPr="00CB5AAF" w:rsidRDefault="00501CE9" w:rsidP="00182FD4">
      <w:pPr>
        <w:shd w:val="clear" w:color="auto" w:fill="FFFFFF"/>
        <w:spacing w:before="120" w:after="0" w:line="304" w:lineRule="atLeast"/>
        <w:jc w:val="both"/>
        <w:rPr>
          <w:rFonts w:eastAsia="Times New Roman" w:cs="Times New Roman"/>
          <w:sz w:val="26"/>
          <w:szCs w:val="26"/>
        </w:rPr>
      </w:pPr>
      <w:r w:rsidRPr="00CB5AAF">
        <w:rPr>
          <w:rFonts w:eastAsia="Times New Roman" w:cs="Times New Roman"/>
          <w:sz w:val="26"/>
          <w:szCs w:val="26"/>
          <w:lang w:val="vi-VN"/>
        </w:rPr>
        <w:t>2. Trong quá trình thực hiện nếu có vướng mắc, đề nghị các tổ chức, cá nhân phản ánh kịp thời về Bộ Tài chính để nghiên cứu giải quyết./.</w:t>
      </w:r>
    </w:p>
    <w:p w:rsidR="00501CE9" w:rsidRPr="00CB5AAF" w:rsidRDefault="00501CE9" w:rsidP="00182FD4">
      <w:pPr>
        <w:shd w:val="clear" w:color="auto" w:fill="FFFFFF"/>
        <w:spacing w:before="120" w:after="0" w:line="304" w:lineRule="atLeast"/>
        <w:jc w:val="both"/>
        <w:rPr>
          <w:rFonts w:eastAsia="Times New Roman" w:cs="Times New Roman"/>
          <w:sz w:val="26"/>
          <w:szCs w:val="26"/>
        </w:rPr>
      </w:pPr>
      <w:r w:rsidRPr="00CB5AAF">
        <w:rPr>
          <w:rFonts w:eastAsia="Times New Roman" w:cs="Times New Roman"/>
          <w:sz w:val="26"/>
          <w:szCs w:val="26"/>
          <w:lang w:val="vi-VN"/>
        </w:rPr>
        <w:t> </w:t>
      </w:r>
    </w:p>
    <w:tbl>
      <w:tblPr>
        <w:tblW w:w="0" w:type="auto"/>
        <w:tblCellSpacing w:w="0" w:type="dxa"/>
        <w:shd w:val="clear" w:color="auto" w:fill="FFFFFF"/>
        <w:tblCellMar>
          <w:left w:w="0" w:type="dxa"/>
          <w:right w:w="0" w:type="dxa"/>
        </w:tblCellMar>
        <w:tblLook w:val="04A0"/>
      </w:tblPr>
      <w:tblGrid>
        <w:gridCol w:w="4808"/>
        <w:gridCol w:w="4048"/>
      </w:tblGrid>
      <w:tr w:rsidR="00501CE9" w:rsidRPr="00CB5AAF" w:rsidTr="00501CE9">
        <w:trPr>
          <w:tblCellSpacing w:w="0" w:type="dxa"/>
        </w:trPr>
        <w:tc>
          <w:tcPr>
            <w:tcW w:w="4808" w:type="dxa"/>
            <w:shd w:val="clear" w:color="auto" w:fill="FFFFFF"/>
            <w:tcMar>
              <w:top w:w="0" w:type="dxa"/>
              <w:left w:w="108" w:type="dxa"/>
              <w:bottom w:w="0" w:type="dxa"/>
              <w:right w:w="108" w:type="dxa"/>
            </w:tcMar>
            <w:hideMark/>
          </w:tcPr>
          <w:p w:rsidR="00501CE9" w:rsidRPr="00CB5AAF" w:rsidRDefault="00501CE9" w:rsidP="00501CE9">
            <w:pPr>
              <w:spacing w:before="120" w:after="0" w:line="304" w:lineRule="atLeast"/>
              <w:rPr>
                <w:rFonts w:eastAsia="Times New Roman" w:cs="Times New Roman"/>
                <w:sz w:val="22"/>
              </w:rPr>
            </w:pPr>
            <w:r w:rsidRPr="00CB5AAF">
              <w:rPr>
                <w:rFonts w:eastAsia="Times New Roman" w:cs="Times New Roman"/>
                <w:sz w:val="22"/>
                <w:lang w:val="vi-VN"/>
              </w:rPr>
              <w:br/>
            </w:r>
            <w:r w:rsidRPr="00CB5AAF">
              <w:rPr>
                <w:rFonts w:eastAsia="Times New Roman" w:cs="Times New Roman"/>
                <w:b/>
                <w:bCs/>
                <w:i/>
                <w:iCs/>
                <w:sz w:val="22"/>
                <w:lang w:val="vi-VN"/>
              </w:rPr>
              <w:t>Nơi nhận:</w:t>
            </w:r>
            <w:r w:rsidRPr="00CB5AAF">
              <w:rPr>
                <w:rFonts w:eastAsia="Times New Roman" w:cs="Times New Roman"/>
                <w:b/>
                <w:bCs/>
                <w:i/>
                <w:iCs/>
                <w:sz w:val="22"/>
                <w:lang w:val="vi-VN"/>
              </w:rPr>
              <w:br/>
            </w:r>
            <w:r w:rsidRPr="00CB5AAF">
              <w:rPr>
                <w:rFonts w:eastAsia="Times New Roman" w:cs="Times New Roman"/>
                <w:sz w:val="22"/>
                <w:lang w:val="vi-VN"/>
              </w:rPr>
              <w:t>- Văn phòng Trung ương và các Ban của Đảng;</w:t>
            </w:r>
            <w:r w:rsidRPr="00CB5AAF">
              <w:rPr>
                <w:rFonts w:eastAsia="Times New Roman" w:cs="Times New Roman"/>
                <w:sz w:val="22"/>
                <w:lang w:val="vi-VN"/>
              </w:rPr>
              <w:br/>
              <w:t>- Văn phòng Quốc hội;</w:t>
            </w:r>
            <w:r w:rsidRPr="00CB5AAF">
              <w:rPr>
                <w:rFonts w:eastAsia="Times New Roman" w:cs="Times New Roman"/>
                <w:sz w:val="22"/>
                <w:lang w:val="vi-VN"/>
              </w:rPr>
              <w:br/>
              <w:t>- Văn phòng Chủ tịch nước;</w:t>
            </w:r>
            <w:r w:rsidRPr="00CB5AAF">
              <w:rPr>
                <w:rFonts w:eastAsia="Times New Roman" w:cs="Times New Roman"/>
                <w:sz w:val="22"/>
                <w:lang w:val="vi-VN"/>
              </w:rPr>
              <w:br/>
              <w:t>- Văn phòng Tổng Bí thư;</w:t>
            </w:r>
            <w:r w:rsidRPr="00CB5AAF">
              <w:rPr>
                <w:rFonts w:eastAsia="Times New Roman" w:cs="Times New Roman"/>
                <w:sz w:val="22"/>
                <w:lang w:val="vi-VN"/>
              </w:rPr>
              <w:br/>
              <w:t>- Viện Kiểm sát nhân dân tối cao;</w:t>
            </w:r>
            <w:r w:rsidRPr="00CB5AAF">
              <w:rPr>
                <w:rFonts w:eastAsia="Times New Roman" w:cs="Times New Roman"/>
                <w:sz w:val="22"/>
                <w:lang w:val="vi-VN"/>
              </w:rPr>
              <w:br/>
              <w:t>- T</w:t>
            </w:r>
            <w:r w:rsidRPr="00CB5AAF">
              <w:rPr>
                <w:rFonts w:eastAsia="Times New Roman" w:cs="Times New Roman"/>
                <w:sz w:val="22"/>
              </w:rPr>
              <w:t>òa </w:t>
            </w:r>
            <w:r w:rsidRPr="00CB5AAF">
              <w:rPr>
                <w:rFonts w:eastAsia="Times New Roman" w:cs="Times New Roman"/>
                <w:sz w:val="22"/>
                <w:lang w:val="vi-VN"/>
              </w:rPr>
              <w:t>án nhân dân tối cao;</w:t>
            </w:r>
            <w:r w:rsidRPr="00CB5AAF">
              <w:rPr>
                <w:rFonts w:eastAsia="Times New Roman" w:cs="Times New Roman"/>
                <w:sz w:val="22"/>
                <w:lang w:val="vi-VN"/>
              </w:rPr>
              <w:br/>
              <w:t>- Kiểm toán nhà nước;</w:t>
            </w:r>
            <w:r w:rsidRPr="00CB5AAF">
              <w:rPr>
                <w:rFonts w:eastAsia="Times New Roman" w:cs="Times New Roman"/>
                <w:sz w:val="22"/>
                <w:lang w:val="vi-VN"/>
              </w:rPr>
              <w:br/>
              <w:t>- Các Bộ, cơ quan ngang Bộ, cơ quan thuộc Chính phủ;</w:t>
            </w:r>
            <w:r w:rsidRPr="00CB5AAF">
              <w:rPr>
                <w:rFonts w:eastAsia="Times New Roman" w:cs="Times New Roman"/>
                <w:sz w:val="22"/>
                <w:lang w:val="vi-VN"/>
              </w:rPr>
              <w:br/>
              <w:t>- Cơ quan Trung ương của các đoàn thể;</w:t>
            </w:r>
            <w:r w:rsidRPr="00CB5AAF">
              <w:rPr>
                <w:rFonts w:eastAsia="Times New Roman" w:cs="Times New Roman"/>
                <w:sz w:val="22"/>
                <w:lang w:val="vi-VN"/>
              </w:rPr>
              <w:br/>
              <w:t>- Hội đồng nhân dân, Ủy ban nhân dân, Sở Tài chính, Cục Thuế, Kho bạc nhà nước các tỉnh, thành phố trực thuộc Trung ương;</w:t>
            </w:r>
            <w:r w:rsidRPr="00CB5AAF">
              <w:rPr>
                <w:rFonts w:eastAsia="Times New Roman" w:cs="Times New Roman"/>
                <w:sz w:val="22"/>
                <w:lang w:val="vi-VN"/>
              </w:rPr>
              <w:br/>
              <w:t>- Công báo;</w:t>
            </w:r>
            <w:r w:rsidRPr="00CB5AAF">
              <w:rPr>
                <w:rFonts w:eastAsia="Times New Roman" w:cs="Times New Roman"/>
                <w:sz w:val="22"/>
                <w:lang w:val="vi-VN"/>
              </w:rPr>
              <w:br/>
              <w:t>- Cục Kiểm tra văn bản (Bộ Tư pháp);</w:t>
            </w:r>
            <w:r w:rsidRPr="00CB5AAF">
              <w:rPr>
                <w:rFonts w:eastAsia="Times New Roman" w:cs="Times New Roman"/>
                <w:sz w:val="22"/>
                <w:lang w:val="vi-VN"/>
              </w:rPr>
              <w:br/>
              <w:t>- Website Chính phủ;</w:t>
            </w:r>
            <w:r w:rsidRPr="00CB5AAF">
              <w:rPr>
                <w:rFonts w:eastAsia="Times New Roman" w:cs="Times New Roman"/>
                <w:sz w:val="22"/>
                <w:lang w:val="vi-VN"/>
              </w:rPr>
              <w:br/>
              <w:t>- Website Bộ Tài chính; Website Tổng cục Thuế;</w:t>
            </w:r>
            <w:r w:rsidRPr="00CB5AAF">
              <w:rPr>
                <w:rFonts w:eastAsia="Times New Roman" w:cs="Times New Roman"/>
                <w:sz w:val="22"/>
                <w:lang w:val="vi-VN"/>
              </w:rPr>
              <w:br/>
              <w:t>- Các đơn vị thuộc Bộ Tài chính;</w:t>
            </w:r>
            <w:r w:rsidRPr="00CB5AAF">
              <w:rPr>
                <w:rFonts w:eastAsia="Times New Roman" w:cs="Times New Roman"/>
                <w:sz w:val="22"/>
                <w:lang w:val="vi-VN"/>
              </w:rPr>
              <w:br/>
              <w:t>- Lưu: VT, TCT (VT, CS).</w:t>
            </w:r>
          </w:p>
        </w:tc>
        <w:tc>
          <w:tcPr>
            <w:tcW w:w="4048" w:type="dxa"/>
            <w:shd w:val="clear" w:color="auto" w:fill="FFFFFF"/>
            <w:tcMar>
              <w:top w:w="0" w:type="dxa"/>
              <w:left w:w="108" w:type="dxa"/>
              <w:bottom w:w="0" w:type="dxa"/>
              <w:right w:w="108" w:type="dxa"/>
            </w:tcMar>
            <w:hideMark/>
          </w:tcPr>
          <w:p w:rsidR="00501CE9" w:rsidRPr="00CB5AAF" w:rsidRDefault="00501CE9" w:rsidP="00501CE9">
            <w:pPr>
              <w:spacing w:before="120" w:after="0" w:line="304" w:lineRule="atLeast"/>
              <w:jc w:val="center"/>
              <w:rPr>
                <w:rFonts w:eastAsia="Times New Roman" w:cs="Times New Roman"/>
                <w:sz w:val="24"/>
                <w:szCs w:val="24"/>
              </w:rPr>
            </w:pPr>
            <w:r w:rsidRPr="00CB5AAF">
              <w:rPr>
                <w:rFonts w:eastAsia="Times New Roman" w:cs="Times New Roman"/>
                <w:b/>
                <w:bCs/>
                <w:sz w:val="24"/>
                <w:szCs w:val="24"/>
                <w:lang w:val="vi-VN"/>
              </w:rPr>
              <w:t>KT. BỘ TRƯỞNG</w:t>
            </w:r>
            <w:r w:rsidRPr="00CB5AAF">
              <w:rPr>
                <w:rFonts w:eastAsia="Times New Roman" w:cs="Times New Roman"/>
                <w:b/>
                <w:bCs/>
                <w:sz w:val="24"/>
                <w:szCs w:val="24"/>
                <w:lang w:val="vi-VN"/>
              </w:rPr>
              <w:br/>
              <w:t>THỨ TRƯỞNG</w:t>
            </w:r>
            <w:r w:rsidRPr="00CB5AAF">
              <w:rPr>
                <w:rFonts w:eastAsia="Times New Roman" w:cs="Times New Roman"/>
                <w:b/>
                <w:bCs/>
                <w:sz w:val="24"/>
                <w:szCs w:val="24"/>
                <w:lang w:val="vi-VN"/>
              </w:rPr>
              <w:br/>
            </w:r>
            <w:r w:rsidRPr="00CB5AAF">
              <w:rPr>
                <w:rFonts w:eastAsia="Times New Roman" w:cs="Times New Roman"/>
                <w:b/>
                <w:bCs/>
                <w:sz w:val="24"/>
                <w:szCs w:val="24"/>
                <w:lang w:val="vi-VN"/>
              </w:rPr>
              <w:br/>
            </w:r>
            <w:r w:rsidRPr="00CB5AAF">
              <w:rPr>
                <w:rFonts w:eastAsia="Times New Roman" w:cs="Times New Roman"/>
                <w:b/>
                <w:bCs/>
                <w:sz w:val="24"/>
                <w:szCs w:val="24"/>
                <w:lang w:val="vi-VN"/>
              </w:rPr>
              <w:br/>
            </w:r>
            <w:r w:rsidRPr="00CB5AAF">
              <w:rPr>
                <w:rFonts w:eastAsia="Times New Roman" w:cs="Times New Roman"/>
                <w:b/>
                <w:bCs/>
                <w:sz w:val="24"/>
                <w:szCs w:val="24"/>
                <w:lang w:val="vi-VN"/>
              </w:rPr>
              <w:br/>
            </w:r>
            <w:r w:rsidRPr="00CB5AAF">
              <w:rPr>
                <w:rFonts w:eastAsia="Times New Roman" w:cs="Times New Roman"/>
                <w:b/>
                <w:bCs/>
                <w:sz w:val="24"/>
                <w:szCs w:val="24"/>
                <w:lang w:val="vi-VN"/>
              </w:rPr>
              <w:br/>
              <w:t>Đỗ Hoàng Anh Tuấn</w:t>
            </w:r>
          </w:p>
        </w:tc>
      </w:tr>
    </w:tbl>
    <w:p w:rsidR="00934969" w:rsidRPr="00CB5AAF" w:rsidRDefault="00934969">
      <w:pPr>
        <w:rPr>
          <w:rFonts w:cs="Times New Roman"/>
          <w:sz w:val="24"/>
          <w:szCs w:val="24"/>
        </w:rPr>
      </w:pPr>
    </w:p>
    <w:sectPr w:rsidR="00934969" w:rsidRPr="00CB5AAF" w:rsidSect="00CB5AAF">
      <w:pgSz w:w="11907" w:h="16840" w:code="9"/>
      <w:pgMar w:top="851" w:right="851" w:bottom="851" w:left="158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40"/>
  <w:drawingGridVerticalSpacing w:val="381"/>
  <w:displayHorizontalDrawingGridEvery w:val="2"/>
  <w:characterSpacingControl w:val="doNotCompress"/>
  <w:compat/>
  <w:rsids>
    <w:rsidRoot w:val="00501CE9"/>
    <w:rsid w:val="00182FD4"/>
    <w:rsid w:val="00311314"/>
    <w:rsid w:val="00467B2E"/>
    <w:rsid w:val="00501CE9"/>
    <w:rsid w:val="007F611F"/>
    <w:rsid w:val="00934969"/>
    <w:rsid w:val="00CB5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1CE9"/>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01CE9"/>
  </w:style>
  <w:style w:type="character" w:styleId="Hyperlink">
    <w:name w:val="Hyperlink"/>
    <w:basedOn w:val="DefaultParagraphFont"/>
    <w:uiPriority w:val="99"/>
    <w:semiHidden/>
    <w:unhideWhenUsed/>
    <w:rsid w:val="00501CE9"/>
    <w:rPr>
      <w:color w:val="0000FF"/>
      <w:u w:val="single"/>
    </w:rPr>
  </w:style>
</w:styles>
</file>

<file path=word/webSettings.xml><?xml version="1.0" encoding="utf-8"?>
<w:webSettings xmlns:r="http://schemas.openxmlformats.org/officeDocument/2006/relationships" xmlns:w="http://schemas.openxmlformats.org/wordprocessingml/2006/main">
  <w:divs>
    <w:div w:id="165020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215/2013/N%C4%90-CP&amp;area=2&amp;type=0&amp;match=False&amp;vc=True&amp;lan=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phap-luat/tim-van-ban.aspx?keyword=51/2010/N%C4%90-CP&amp;area=2&amp;type=0&amp;match=False&amp;vc=True&amp;lan=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04/2014/N%C4%90-CP&amp;area=2&amp;type=0&amp;match=False&amp;vc=True&amp;lan=1" TargetMode="External"/><Relationship Id="rId11" Type="http://schemas.openxmlformats.org/officeDocument/2006/relationships/hyperlink" Target="https://thuvienphapluat.vn/phap-luat/tim-van-ban.aspx?keyword=26/2015/TT-BTC&amp;area=2&amp;type=0&amp;match=False&amp;vc=True&amp;lan=1" TargetMode="External"/><Relationship Id="rId5" Type="http://schemas.openxmlformats.org/officeDocument/2006/relationships/hyperlink" Target="https://thuvienphapluat.vn/phap-luat/tim-van-ban.aspx?keyword=51/2010/N%C4%90-CP&amp;area=2&amp;type=0&amp;match=False&amp;vc=True&amp;lan=1" TargetMode="External"/><Relationship Id="rId10" Type="http://schemas.openxmlformats.org/officeDocument/2006/relationships/hyperlink" Target="https://thuvienphapluat.vn/phap-luat/tim-van-ban.aspx?keyword=119/2014/TT-BTC&amp;area=2&amp;type=0&amp;match=False&amp;vc=True&amp;lan=1" TargetMode="External"/><Relationship Id="rId4" Type="http://schemas.openxmlformats.org/officeDocument/2006/relationships/hyperlink" Target="https://thuvienphapluat.vn/phap-luat/tim-van-ban.aspx?keyword=39/2014/TT-BTC&amp;area=2&amp;type=0&amp;match=False&amp;vc=True&amp;lan=1" TargetMode="External"/><Relationship Id="rId9" Type="http://schemas.openxmlformats.org/officeDocument/2006/relationships/hyperlink" Target="https://thuvienphapluat.vn/phap-luat/tim-van-ban.aspx?keyword=39/2014/TT-BTC&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1245</Words>
  <Characters>7100</Characters>
  <Application>Microsoft Office Word</Application>
  <DocSecurity>0</DocSecurity>
  <Lines>59</Lines>
  <Paragraphs>16</Paragraphs>
  <ScaleCrop>false</ScaleCrop>
  <Company>Microsoft</Company>
  <LinksUpToDate>false</LinksUpToDate>
  <CharactersWithSpaces>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2017-05-09T02:48:00Z</dcterms:created>
  <dcterms:modified xsi:type="dcterms:W3CDTF">2017-05-10T02:53:00Z</dcterms:modified>
</cp:coreProperties>
</file>